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93" w:type="dxa"/>
        <w:tblLayout w:type="fixed"/>
        <w:tblCellMar>
          <w:left w:w="70" w:type="dxa"/>
          <w:right w:w="70" w:type="dxa"/>
        </w:tblCellMar>
        <w:tblLook w:val="0000" w:firstRow="0" w:lastRow="0" w:firstColumn="0" w:lastColumn="0" w:noHBand="0" w:noVBand="0"/>
      </w:tblPr>
      <w:tblGrid>
        <w:gridCol w:w="6804"/>
        <w:gridCol w:w="1204"/>
        <w:gridCol w:w="1985"/>
      </w:tblGrid>
      <w:tr w:rsidR="0011668E" w14:paraId="5C3B6FD0" w14:textId="77777777">
        <w:trPr>
          <w:trHeight w:val="1030"/>
        </w:trPr>
        <w:tc>
          <w:tcPr>
            <w:tcW w:w="6804" w:type="dxa"/>
          </w:tcPr>
          <w:p w14:paraId="0244C022" w14:textId="77777777" w:rsidR="0011668E" w:rsidRDefault="00C601B6">
            <w:pPr>
              <w:tabs>
                <w:tab w:val="left" w:pos="6691"/>
              </w:tabs>
              <w:jc w:val="both"/>
              <w:rPr>
                <w:sz w:val="16"/>
              </w:rPr>
            </w:pPr>
            <w:r>
              <w:rPr>
                <w:rFonts w:asciiTheme="minorHAnsi" w:hAnsiTheme="minorHAnsi" w:cstheme="minorHAnsi"/>
                <w:noProof/>
                <w:sz w:val="22"/>
                <w:szCs w:val="24"/>
              </w:rPr>
              <w:drawing>
                <wp:anchor distT="0" distB="0" distL="114300" distR="114300" simplePos="0" relativeHeight="251659264" behindDoc="0" locked="0" layoutInCell="1" allowOverlap="1" wp14:anchorId="7FA42074" wp14:editId="7B15B338">
                  <wp:simplePos x="0" y="0"/>
                  <wp:positionH relativeFrom="column">
                    <wp:posOffset>-116400</wp:posOffset>
                  </wp:positionH>
                  <wp:positionV relativeFrom="paragraph">
                    <wp:posOffset>134620</wp:posOffset>
                  </wp:positionV>
                  <wp:extent cx="2199416" cy="648586"/>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dtmuseum_neues_Logo_2016_4C_Zuschnitt.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199416" cy="648586"/>
                          </a:xfrm>
                          <a:prstGeom prst="rect">
                            <a:avLst/>
                          </a:prstGeom>
                        </pic:spPr>
                      </pic:pic>
                    </a:graphicData>
                  </a:graphic>
                  <wp14:sizeRelH relativeFrom="page">
                    <wp14:pctWidth>0</wp14:pctWidth>
                  </wp14:sizeRelH>
                  <wp14:sizeRelV relativeFrom="page">
                    <wp14:pctHeight>0</wp14:pctHeight>
                  </wp14:sizeRelV>
                </wp:anchor>
              </w:drawing>
            </w:r>
          </w:p>
        </w:tc>
        <w:tc>
          <w:tcPr>
            <w:tcW w:w="3189" w:type="dxa"/>
            <w:gridSpan w:val="2"/>
          </w:tcPr>
          <w:p w14:paraId="228B7CB2" w14:textId="77777777" w:rsidR="0011668E" w:rsidRDefault="0011668E">
            <w:pPr>
              <w:tabs>
                <w:tab w:val="left" w:pos="6691"/>
              </w:tabs>
              <w:jc w:val="both"/>
              <w:rPr>
                <w:b/>
                <w:sz w:val="24"/>
              </w:rPr>
            </w:pPr>
          </w:p>
        </w:tc>
      </w:tr>
      <w:tr w:rsidR="0011668E" w14:paraId="39192BCF" w14:textId="77777777">
        <w:trPr>
          <w:trHeight w:val="287"/>
        </w:trPr>
        <w:tc>
          <w:tcPr>
            <w:tcW w:w="6804" w:type="dxa"/>
            <w:vAlign w:val="bottom"/>
          </w:tcPr>
          <w:p w14:paraId="6F3D636A" w14:textId="77777777" w:rsidR="0011668E" w:rsidRDefault="0011668E">
            <w:pPr>
              <w:tabs>
                <w:tab w:val="left" w:pos="2000"/>
              </w:tabs>
              <w:jc w:val="both"/>
              <w:rPr>
                <w:sz w:val="16"/>
              </w:rPr>
            </w:pPr>
          </w:p>
          <w:p w14:paraId="211BC615" w14:textId="77777777" w:rsidR="0011668E" w:rsidRDefault="0011668E">
            <w:pPr>
              <w:tabs>
                <w:tab w:val="left" w:pos="2000"/>
              </w:tabs>
              <w:jc w:val="both"/>
              <w:rPr>
                <w:sz w:val="16"/>
              </w:rPr>
            </w:pPr>
          </w:p>
          <w:p w14:paraId="418ACEBF" w14:textId="77777777" w:rsidR="0011668E" w:rsidRDefault="0011668E">
            <w:pPr>
              <w:tabs>
                <w:tab w:val="left" w:pos="2000"/>
              </w:tabs>
              <w:jc w:val="both"/>
              <w:rPr>
                <w:sz w:val="16"/>
              </w:rPr>
            </w:pPr>
          </w:p>
        </w:tc>
        <w:tc>
          <w:tcPr>
            <w:tcW w:w="1204" w:type="dxa"/>
            <w:vAlign w:val="bottom"/>
          </w:tcPr>
          <w:p w14:paraId="052A5B4B" w14:textId="77777777" w:rsidR="0011668E" w:rsidRDefault="0011668E">
            <w:pPr>
              <w:tabs>
                <w:tab w:val="left" w:pos="2000"/>
              </w:tabs>
              <w:jc w:val="both"/>
              <w:rPr>
                <w:sz w:val="16"/>
              </w:rPr>
            </w:pPr>
          </w:p>
        </w:tc>
        <w:tc>
          <w:tcPr>
            <w:tcW w:w="1985" w:type="dxa"/>
          </w:tcPr>
          <w:p w14:paraId="44FD00EC" w14:textId="77777777" w:rsidR="0011668E" w:rsidRDefault="0011668E">
            <w:pPr>
              <w:spacing w:line="200" w:lineRule="exact"/>
              <w:jc w:val="both"/>
              <w:rPr>
                <w:rFonts w:asciiTheme="minorHAnsi" w:hAnsiTheme="minorHAnsi" w:cstheme="minorHAnsi"/>
                <w:b/>
                <w:color w:val="430433"/>
                <w:sz w:val="18"/>
                <w:szCs w:val="18"/>
              </w:rPr>
            </w:pPr>
          </w:p>
        </w:tc>
      </w:tr>
    </w:tbl>
    <w:p w14:paraId="15B28862" w14:textId="77777777" w:rsidR="0011668E" w:rsidRDefault="0011668E">
      <w:pPr>
        <w:jc w:val="both"/>
        <w:rPr>
          <w:rFonts w:ascii="Calibri" w:hAnsi="Calibri" w:cs="Calibri"/>
          <w:b/>
          <w:bCs/>
          <w:sz w:val="28"/>
          <w:szCs w:val="28"/>
        </w:rPr>
      </w:pPr>
      <w:bookmarkStart w:id="0" w:name="absenderleiste"/>
      <w:bookmarkEnd w:id="0"/>
    </w:p>
    <w:p w14:paraId="7D26C574" w14:textId="79F8EBE0" w:rsidR="0011668E" w:rsidRPr="009A291A" w:rsidRDefault="009A291A">
      <w:pPr>
        <w:jc w:val="both"/>
        <w:rPr>
          <w:rFonts w:ascii="Calibri" w:hAnsi="Calibri" w:cs="Calibri"/>
          <w:b/>
          <w:bCs/>
          <w:sz w:val="28"/>
          <w:szCs w:val="28"/>
        </w:rPr>
      </w:pPr>
      <w:r w:rsidRPr="009A291A">
        <w:rPr>
          <w:rFonts w:ascii="Calibri" w:hAnsi="Calibri" w:cs="Calibri"/>
          <w:b/>
          <w:bCs/>
          <w:sz w:val="28"/>
          <w:szCs w:val="28"/>
        </w:rPr>
        <w:t>PRESSEINFORMATION</w:t>
      </w:r>
    </w:p>
    <w:p w14:paraId="543D73A0" w14:textId="55DE845B" w:rsidR="009A291A" w:rsidRPr="009A291A" w:rsidRDefault="009A291A" w:rsidP="009A291A">
      <w:pPr>
        <w:jc w:val="right"/>
        <w:rPr>
          <w:rFonts w:ascii="Calibri" w:hAnsi="Calibri" w:cs="Calibri"/>
          <w:b/>
          <w:bCs/>
          <w:sz w:val="22"/>
          <w:szCs w:val="22"/>
        </w:rPr>
      </w:pPr>
      <w:r>
        <w:rPr>
          <w:rFonts w:ascii="Calibri" w:hAnsi="Calibri" w:cs="Calibri"/>
          <w:b/>
          <w:bCs/>
          <w:sz w:val="22"/>
          <w:szCs w:val="22"/>
        </w:rPr>
        <w:t>14. August 2026</w:t>
      </w:r>
    </w:p>
    <w:p w14:paraId="4B5E3000" w14:textId="77777777" w:rsidR="009A291A" w:rsidRDefault="009A291A">
      <w:pPr>
        <w:jc w:val="both"/>
        <w:rPr>
          <w:rFonts w:ascii="Calibri" w:hAnsi="Calibri" w:cs="Calibri"/>
          <w:b/>
          <w:bCs/>
          <w:sz w:val="28"/>
          <w:szCs w:val="28"/>
        </w:rPr>
      </w:pPr>
    </w:p>
    <w:p w14:paraId="6F0B09EA" w14:textId="77777777" w:rsidR="009A291A" w:rsidRPr="00B15D7B" w:rsidRDefault="009A291A" w:rsidP="009A291A">
      <w:pPr>
        <w:jc w:val="both"/>
        <w:rPr>
          <w:rFonts w:asciiTheme="minorHAnsi" w:hAnsiTheme="minorHAnsi" w:cstheme="minorHAnsi"/>
          <w:b/>
          <w:bCs/>
          <w:sz w:val="32"/>
          <w:szCs w:val="32"/>
        </w:rPr>
      </w:pPr>
      <w:r w:rsidRPr="00B15D7B">
        <w:rPr>
          <w:rFonts w:asciiTheme="minorHAnsi" w:hAnsiTheme="minorHAnsi" w:cstheme="minorHAnsi"/>
          <w:b/>
          <w:bCs/>
          <w:sz w:val="32"/>
          <w:szCs w:val="32"/>
        </w:rPr>
        <w:t>Spektakuläre Leihgaben erwecken das jüdische Trier zum Leben</w:t>
      </w:r>
    </w:p>
    <w:p w14:paraId="158846A1" w14:textId="77777777" w:rsidR="009A291A" w:rsidRDefault="009A291A" w:rsidP="009A291A">
      <w:pPr>
        <w:jc w:val="both"/>
        <w:rPr>
          <w:rFonts w:asciiTheme="minorHAnsi" w:hAnsiTheme="minorHAnsi" w:cstheme="minorHAnsi"/>
          <w:sz w:val="32"/>
          <w:szCs w:val="32"/>
        </w:rPr>
      </w:pPr>
    </w:p>
    <w:p w14:paraId="280A4244" w14:textId="77777777" w:rsidR="009A291A" w:rsidRPr="00184CC2" w:rsidRDefault="009A291A" w:rsidP="009A291A">
      <w:pPr>
        <w:jc w:val="both"/>
        <w:rPr>
          <w:rFonts w:asciiTheme="minorHAnsi" w:hAnsiTheme="minorHAnsi" w:cstheme="minorHAnsi"/>
          <w:b/>
          <w:bCs/>
          <w:sz w:val="22"/>
          <w:szCs w:val="22"/>
        </w:rPr>
      </w:pPr>
      <w:r w:rsidRPr="00184CC2">
        <w:rPr>
          <w:rFonts w:asciiTheme="minorHAnsi" w:hAnsiTheme="minorHAnsi" w:cstheme="minorHAnsi"/>
          <w:b/>
          <w:bCs/>
          <w:sz w:val="22"/>
          <w:szCs w:val="22"/>
        </w:rPr>
        <w:t>Im Stadtmuseum Simeonstift laufen aktuell die Vorbereitungen für eine Ausstellung, die laut Experten schon lange überfällig ist: Eine umfassende Bestandsaufnahme des jüdischen Lebens im mittelalterlichen Trier. Gemeinsam mit dem Arye</w:t>
      </w:r>
      <w:r>
        <w:rPr>
          <w:rFonts w:asciiTheme="minorHAnsi" w:hAnsiTheme="minorHAnsi" w:cstheme="minorHAnsi"/>
          <w:b/>
          <w:bCs/>
          <w:sz w:val="22"/>
          <w:szCs w:val="22"/>
        </w:rPr>
        <w:t xml:space="preserve"> </w:t>
      </w:r>
      <w:proofErr w:type="spellStart"/>
      <w:r w:rsidRPr="00184CC2">
        <w:rPr>
          <w:rFonts w:asciiTheme="minorHAnsi" w:hAnsiTheme="minorHAnsi" w:cstheme="minorHAnsi"/>
          <w:b/>
          <w:bCs/>
          <w:sz w:val="22"/>
          <w:szCs w:val="22"/>
        </w:rPr>
        <w:t>Ma</w:t>
      </w:r>
      <w:r>
        <w:rPr>
          <w:rFonts w:asciiTheme="minorHAnsi" w:hAnsiTheme="minorHAnsi" w:cstheme="minorHAnsi"/>
          <w:b/>
          <w:bCs/>
          <w:sz w:val="22"/>
          <w:szCs w:val="22"/>
        </w:rPr>
        <w:t>i</w:t>
      </w:r>
      <w:r w:rsidRPr="00184CC2">
        <w:rPr>
          <w:rFonts w:asciiTheme="minorHAnsi" w:hAnsiTheme="minorHAnsi" w:cstheme="minorHAnsi"/>
          <w:b/>
          <w:bCs/>
          <w:sz w:val="22"/>
          <w:szCs w:val="22"/>
        </w:rPr>
        <w:t>mon</w:t>
      </w:r>
      <w:proofErr w:type="spellEnd"/>
      <w:r w:rsidRPr="00184CC2">
        <w:rPr>
          <w:rFonts w:asciiTheme="minorHAnsi" w:hAnsiTheme="minorHAnsi" w:cstheme="minorHAnsi"/>
          <w:b/>
          <w:bCs/>
          <w:sz w:val="22"/>
          <w:szCs w:val="22"/>
        </w:rPr>
        <w:t xml:space="preserve">-Institut </w:t>
      </w:r>
      <w:r>
        <w:rPr>
          <w:rFonts w:asciiTheme="minorHAnsi" w:hAnsiTheme="minorHAnsi" w:cstheme="minorHAnsi"/>
          <w:b/>
          <w:bCs/>
          <w:sz w:val="22"/>
          <w:szCs w:val="22"/>
        </w:rPr>
        <w:t>für Geschichte der Juden an</w:t>
      </w:r>
      <w:r w:rsidRPr="00184CC2">
        <w:rPr>
          <w:rFonts w:asciiTheme="minorHAnsi" w:hAnsiTheme="minorHAnsi" w:cstheme="minorHAnsi"/>
          <w:b/>
          <w:bCs/>
          <w:sz w:val="22"/>
          <w:szCs w:val="22"/>
        </w:rPr>
        <w:t xml:space="preserve"> der Universität Trier beleuchtet das Stadtmuseum dieses faszinierende Kapitel der </w:t>
      </w:r>
      <w:r>
        <w:rPr>
          <w:rFonts w:asciiTheme="minorHAnsi" w:hAnsiTheme="minorHAnsi" w:cstheme="minorHAnsi"/>
          <w:b/>
          <w:bCs/>
          <w:sz w:val="22"/>
          <w:szCs w:val="22"/>
        </w:rPr>
        <w:t xml:space="preserve">europäischen Geschichte und der </w:t>
      </w:r>
      <w:r w:rsidRPr="00184CC2">
        <w:rPr>
          <w:rFonts w:asciiTheme="minorHAnsi" w:hAnsiTheme="minorHAnsi" w:cstheme="minorHAnsi"/>
          <w:b/>
          <w:bCs/>
          <w:sz w:val="22"/>
          <w:szCs w:val="22"/>
        </w:rPr>
        <w:t>Stadtgeschichte</w:t>
      </w:r>
      <w:r>
        <w:rPr>
          <w:rFonts w:asciiTheme="minorHAnsi" w:hAnsiTheme="minorHAnsi" w:cstheme="minorHAnsi"/>
          <w:b/>
          <w:bCs/>
          <w:sz w:val="22"/>
          <w:szCs w:val="22"/>
        </w:rPr>
        <w:t xml:space="preserve">. Die Ausstellung „Jüdisches Leben im Mittelalter“ wird ab Oktober </w:t>
      </w:r>
      <w:r w:rsidRPr="00184CC2">
        <w:rPr>
          <w:rFonts w:asciiTheme="minorHAnsi" w:hAnsiTheme="minorHAnsi" w:cstheme="minorHAnsi"/>
          <w:b/>
          <w:bCs/>
          <w:sz w:val="22"/>
          <w:szCs w:val="22"/>
        </w:rPr>
        <w:t>mit spektakulären Leihgaben</w:t>
      </w:r>
      <w:r>
        <w:rPr>
          <w:rFonts w:asciiTheme="minorHAnsi" w:hAnsiTheme="minorHAnsi" w:cstheme="minorHAnsi"/>
          <w:b/>
          <w:bCs/>
          <w:sz w:val="22"/>
          <w:szCs w:val="22"/>
        </w:rPr>
        <w:t xml:space="preserve"> aufwarten können.</w:t>
      </w:r>
    </w:p>
    <w:p w14:paraId="2C9CF1E3" w14:textId="77777777" w:rsidR="009A291A" w:rsidRDefault="009A291A" w:rsidP="009A291A">
      <w:pPr>
        <w:jc w:val="both"/>
        <w:rPr>
          <w:rFonts w:asciiTheme="minorHAnsi" w:hAnsiTheme="minorHAnsi" w:cstheme="minorHAnsi"/>
          <w:sz w:val="22"/>
          <w:szCs w:val="22"/>
        </w:rPr>
      </w:pPr>
    </w:p>
    <w:p w14:paraId="1BF85A5F" w14:textId="77777777" w:rsidR="009A291A" w:rsidRDefault="009A291A" w:rsidP="009A291A">
      <w:pPr>
        <w:jc w:val="both"/>
        <w:rPr>
          <w:rFonts w:asciiTheme="minorHAnsi" w:hAnsiTheme="minorHAnsi" w:cstheme="minorHAnsi"/>
          <w:sz w:val="22"/>
          <w:szCs w:val="22"/>
        </w:rPr>
      </w:pPr>
      <w:r>
        <w:rPr>
          <w:rFonts w:asciiTheme="minorHAnsi" w:hAnsiTheme="minorHAnsi" w:cstheme="minorHAnsi"/>
          <w:sz w:val="22"/>
          <w:szCs w:val="22"/>
        </w:rPr>
        <w:t>Trier. Wer an das mittelalterliche Leben in Rheinland-Pfalz denkt, dem fallen wahrscheinlich zunächst die SchUM-Städte Speyer, Worms und Mainz ein, die ein geistiges und kulturelles Zentrum des europäischen Judentums waren. Dass auch Trier als eine der ältesten jüdischen Gemeinden Deutschlands eine bedeutende Rolle im europäischen Netzwerk des Judentums spielte, wird dabei oft vergessen. „Das ist ein Missstand, mit dem wir unbedingt aufräumen wollen“, erklärt Museumsdirektorin Dr. Viola Skiba. Das Thema liegt der Historikerin mit dem Schwerpunkt Mittelalter nicht nur aus fachlichen Gründen am Herzen: „Trier hat mit dem baulichen Ensemble des Judenviertels einen echten Schatz in seiner Stadtmitte, den es in dieser Form andernorts nicht gibt.“ Die Bedeutung der jüdischen Geschichte ins Bewusstsein der Triererinnen und Trierer, aber auch der touristischen Gäste zu rücken, ist der Museumsdirektorin ein großes Anliegen.</w:t>
      </w:r>
    </w:p>
    <w:p w14:paraId="21AFBE3D" w14:textId="77777777" w:rsidR="009A291A" w:rsidRDefault="009A291A" w:rsidP="009A291A">
      <w:pPr>
        <w:jc w:val="both"/>
        <w:rPr>
          <w:rFonts w:asciiTheme="minorHAnsi" w:hAnsiTheme="minorHAnsi" w:cstheme="minorHAnsi"/>
          <w:sz w:val="22"/>
          <w:szCs w:val="22"/>
        </w:rPr>
      </w:pPr>
    </w:p>
    <w:p w14:paraId="6E21E7D3" w14:textId="77777777" w:rsidR="009A291A" w:rsidRDefault="009A291A" w:rsidP="009A291A">
      <w:pPr>
        <w:jc w:val="both"/>
        <w:rPr>
          <w:rFonts w:asciiTheme="minorHAnsi" w:hAnsiTheme="minorHAnsi" w:cstheme="minorHAnsi"/>
          <w:sz w:val="22"/>
          <w:szCs w:val="22"/>
        </w:rPr>
      </w:pPr>
      <w:r>
        <w:rPr>
          <w:rFonts w:asciiTheme="minorHAnsi" w:hAnsiTheme="minorHAnsi" w:cstheme="minorHAnsi"/>
          <w:sz w:val="22"/>
          <w:szCs w:val="22"/>
        </w:rPr>
        <w:t xml:space="preserve">An ihrer Seite sind </w:t>
      </w:r>
      <w:proofErr w:type="spellStart"/>
      <w:r>
        <w:rPr>
          <w:rFonts w:asciiTheme="minorHAnsi" w:hAnsiTheme="minorHAnsi" w:cstheme="minorHAnsi"/>
          <w:sz w:val="22"/>
          <w:szCs w:val="22"/>
        </w:rPr>
        <w:t>JProf</w:t>
      </w:r>
      <w:proofErr w:type="spellEnd"/>
      <w:r>
        <w:rPr>
          <w:rFonts w:asciiTheme="minorHAnsi" w:hAnsiTheme="minorHAnsi" w:cstheme="minorHAnsi"/>
          <w:sz w:val="22"/>
          <w:szCs w:val="22"/>
        </w:rPr>
        <w:t xml:space="preserve">. Dr. Andreas Lehnertz und Dr. Christoph Cluse von der Universität Trier mit dem Arye </w:t>
      </w:r>
      <w:proofErr w:type="spellStart"/>
      <w:r>
        <w:rPr>
          <w:rFonts w:asciiTheme="minorHAnsi" w:hAnsiTheme="minorHAnsi" w:cstheme="minorHAnsi"/>
          <w:sz w:val="22"/>
          <w:szCs w:val="22"/>
        </w:rPr>
        <w:t>Maimon</w:t>
      </w:r>
      <w:proofErr w:type="spellEnd"/>
      <w:r>
        <w:rPr>
          <w:rFonts w:asciiTheme="minorHAnsi" w:hAnsiTheme="minorHAnsi" w:cstheme="minorHAnsi"/>
          <w:sz w:val="22"/>
          <w:szCs w:val="22"/>
        </w:rPr>
        <w:t>-Institut für Geschichte der Juden als Kooperationspartner an dem Projekt beteiligt. Gemeinsam wurde im vergangenen Semester etwa ein studentisches Projektseminar zur Geschichte des Judentums in Trier sowie der Großregion organisiert und Studierende an Ausstellungstexten und Katalog beteiligt. „Eine große Ausstellung zur jüdischen Geschichte der Großregion ist schon lange überfällig, und wir freuen uns über die Gelegenheit, ein breites Publikum am Stand der aktuellen wissenschaftlichen Forschungen teilhaben zu lassen“, so die beiden Wissenschaftler.</w:t>
      </w:r>
    </w:p>
    <w:p w14:paraId="25C7764D" w14:textId="77777777" w:rsidR="009A291A" w:rsidRDefault="009A291A" w:rsidP="009A291A">
      <w:pPr>
        <w:jc w:val="both"/>
        <w:rPr>
          <w:rFonts w:asciiTheme="minorHAnsi" w:hAnsiTheme="minorHAnsi" w:cstheme="minorHAnsi"/>
          <w:sz w:val="22"/>
          <w:szCs w:val="22"/>
        </w:rPr>
      </w:pPr>
    </w:p>
    <w:p w14:paraId="70122A22" w14:textId="77777777" w:rsidR="009A291A" w:rsidRDefault="009A291A" w:rsidP="009A291A">
      <w:pPr>
        <w:jc w:val="both"/>
        <w:rPr>
          <w:rFonts w:asciiTheme="minorHAnsi" w:hAnsiTheme="minorHAnsi" w:cstheme="minorHAnsi"/>
          <w:sz w:val="22"/>
          <w:szCs w:val="22"/>
        </w:rPr>
      </w:pPr>
      <w:r>
        <w:rPr>
          <w:rFonts w:asciiTheme="minorHAnsi" w:hAnsiTheme="minorHAnsi" w:cstheme="minorHAnsi"/>
          <w:sz w:val="22"/>
          <w:szCs w:val="22"/>
        </w:rPr>
        <w:t>Die Begeisterung über das Projekt reicht dabei weit über Trier hinaus. Der Leihverkehr ist weitgehend abgeschlossen und das Stadtmuseum darf sich über spektakuläre Zusagen und wissenschaftliche Unterstützung freuen.</w:t>
      </w:r>
    </w:p>
    <w:p w14:paraId="03E7431B" w14:textId="77777777" w:rsidR="009A291A" w:rsidRDefault="009A291A" w:rsidP="009A291A">
      <w:pPr>
        <w:jc w:val="both"/>
        <w:rPr>
          <w:rFonts w:asciiTheme="minorHAnsi" w:hAnsiTheme="minorHAnsi" w:cstheme="minorHAnsi"/>
          <w:sz w:val="22"/>
          <w:szCs w:val="22"/>
        </w:rPr>
      </w:pPr>
    </w:p>
    <w:p w14:paraId="5A0613E3" w14:textId="77777777" w:rsidR="009A291A" w:rsidRDefault="009A291A" w:rsidP="009A291A">
      <w:pPr>
        <w:jc w:val="both"/>
        <w:rPr>
          <w:rFonts w:asciiTheme="minorHAnsi" w:hAnsiTheme="minorHAnsi" w:cstheme="minorHAnsi"/>
          <w:sz w:val="22"/>
          <w:szCs w:val="22"/>
        </w:rPr>
      </w:pPr>
      <w:r>
        <w:rPr>
          <w:rFonts w:asciiTheme="minorHAnsi" w:hAnsiTheme="minorHAnsi" w:cstheme="minorHAnsi"/>
          <w:sz w:val="22"/>
          <w:szCs w:val="22"/>
        </w:rPr>
        <w:t xml:space="preserve">Mit dem Erfurter Hochzeitsring wird ein Schlüsselobjekt jüdischer Geschichte in Deutschland als Highlight in der Ausstellung zu sehen sein. Das Schmuckstück aus dem 14. Jahrhundert ist aus Gold gefertigt und eines von weltweit nur drei erhaltenden mittelalterlichen Exemplaren dieser Art. </w:t>
      </w:r>
    </w:p>
    <w:p w14:paraId="3635C455" w14:textId="77777777" w:rsidR="009A291A" w:rsidRDefault="009A291A" w:rsidP="009A291A">
      <w:pPr>
        <w:jc w:val="both"/>
        <w:rPr>
          <w:rFonts w:asciiTheme="minorHAnsi" w:hAnsiTheme="minorHAnsi" w:cstheme="minorHAnsi"/>
          <w:sz w:val="22"/>
          <w:szCs w:val="22"/>
        </w:rPr>
      </w:pPr>
    </w:p>
    <w:p w14:paraId="05D8DCA6" w14:textId="77777777" w:rsidR="009A291A" w:rsidRDefault="009A291A" w:rsidP="009A291A">
      <w:pPr>
        <w:jc w:val="both"/>
        <w:rPr>
          <w:rFonts w:asciiTheme="minorHAnsi" w:hAnsiTheme="minorHAnsi" w:cstheme="minorHAnsi"/>
          <w:sz w:val="22"/>
          <w:szCs w:val="22"/>
        </w:rPr>
      </w:pPr>
    </w:p>
    <w:p w14:paraId="62849F9E" w14:textId="77777777" w:rsidR="009A291A" w:rsidRDefault="009A291A" w:rsidP="009A291A">
      <w:pPr>
        <w:jc w:val="both"/>
        <w:rPr>
          <w:rFonts w:asciiTheme="minorHAnsi" w:hAnsiTheme="minorHAnsi" w:cstheme="minorHAnsi"/>
          <w:sz w:val="22"/>
          <w:szCs w:val="22"/>
        </w:rPr>
      </w:pPr>
    </w:p>
    <w:p w14:paraId="7E3E74ED" w14:textId="77777777" w:rsidR="00514D03" w:rsidRDefault="00514D03" w:rsidP="009A291A">
      <w:pPr>
        <w:jc w:val="both"/>
        <w:rPr>
          <w:rFonts w:asciiTheme="minorHAnsi" w:hAnsiTheme="minorHAnsi" w:cstheme="minorHAnsi"/>
          <w:sz w:val="22"/>
          <w:szCs w:val="22"/>
        </w:rPr>
      </w:pPr>
    </w:p>
    <w:p w14:paraId="730685DC" w14:textId="77777777" w:rsidR="00514D03" w:rsidRDefault="00514D03" w:rsidP="009A291A">
      <w:pPr>
        <w:jc w:val="both"/>
        <w:rPr>
          <w:rFonts w:asciiTheme="minorHAnsi" w:hAnsiTheme="minorHAnsi" w:cstheme="minorHAnsi"/>
          <w:sz w:val="22"/>
          <w:szCs w:val="22"/>
        </w:rPr>
      </w:pPr>
    </w:p>
    <w:p w14:paraId="47B9B4B0" w14:textId="3D189485" w:rsidR="009A291A" w:rsidRDefault="009A291A" w:rsidP="009A291A">
      <w:pPr>
        <w:jc w:val="both"/>
        <w:rPr>
          <w:rFonts w:asciiTheme="minorHAnsi" w:hAnsiTheme="minorHAnsi" w:cstheme="minorHAnsi"/>
          <w:sz w:val="22"/>
          <w:szCs w:val="22"/>
        </w:rPr>
      </w:pPr>
      <w:r>
        <w:rPr>
          <w:rFonts w:asciiTheme="minorHAnsi" w:hAnsiTheme="minorHAnsi" w:cstheme="minorHAnsi"/>
          <w:sz w:val="22"/>
          <w:szCs w:val="22"/>
        </w:rPr>
        <w:t xml:space="preserve">Eine weitere Sensation ist eine aschkenasische </w:t>
      </w:r>
      <w:proofErr w:type="spellStart"/>
      <w:r>
        <w:rPr>
          <w:rFonts w:asciiTheme="minorHAnsi" w:hAnsiTheme="minorHAnsi" w:cstheme="minorHAnsi"/>
          <w:sz w:val="22"/>
          <w:szCs w:val="22"/>
        </w:rPr>
        <w:t>Torarolle</w:t>
      </w:r>
      <w:proofErr w:type="spellEnd"/>
      <w:r>
        <w:rPr>
          <w:rFonts w:asciiTheme="minorHAnsi" w:hAnsiTheme="minorHAnsi" w:cstheme="minorHAnsi"/>
          <w:sz w:val="22"/>
          <w:szCs w:val="22"/>
        </w:rPr>
        <w:t xml:space="preserve"> aus Privatbesitz, die mittels Radiokarbonmethode vor das Jahr 1217 datiert wurde und damit als älteste erhaltene aschkenasische </w:t>
      </w:r>
      <w:proofErr w:type="spellStart"/>
      <w:r>
        <w:rPr>
          <w:rFonts w:asciiTheme="minorHAnsi" w:hAnsiTheme="minorHAnsi" w:cstheme="minorHAnsi"/>
          <w:sz w:val="22"/>
          <w:szCs w:val="22"/>
        </w:rPr>
        <w:t>Torarolle</w:t>
      </w:r>
      <w:proofErr w:type="spellEnd"/>
      <w:r>
        <w:rPr>
          <w:rFonts w:asciiTheme="minorHAnsi" w:hAnsiTheme="minorHAnsi" w:cstheme="minorHAnsi"/>
          <w:sz w:val="22"/>
          <w:szCs w:val="22"/>
        </w:rPr>
        <w:t xml:space="preserve"> überhaupt gilt. Sie wurde fast 800 Jahre lang von jüdischen Gemeinden in Synagogen benutzt und wird in der Ausstellung des Stadtmuseums erstmals öffentlich präsentiert werden.</w:t>
      </w:r>
    </w:p>
    <w:p w14:paraId="3A55AC8A" w14:textId="77777777" w:rsidR="009A291A" w:rsidRDefault="009A291A" w:rsidP="009A291A">
      <w:pPr>
        <w:jc w:val="both"/>
        <w:rPr>
          <w:rFonts w:asciiTheme="minorHAnsi" w:hAnsiTheme="minorHAnsi" w:cstheme="minorHAnsi"/>
          <w:sz w:val="22"/>
          <w:szCs w:val="22"/>
        </w:rPr>
      </w:pPr>
    </w:p>
    <w:p w14:paraId="03C8F37E" w14:textId="77777777" w:rsidR="009A291A" w:rsidRDefault="009A291A" w:rsidP="009A291A">
      <w:pPr>
        <w:jc w:val="both"/>
        <w:rPr>
          <w:rFonts w:asciiTheme="minorHAnsi" w:hAnsiTheme="minorHAnsi" w:cstheme="minorHAnsi"/>
          <w:sz w:val="22"/>
          <w:szCs w:val="22"/>
        </w:rPr>
      </w:pPr>
      <w:r>
        <w:rPr>
          <w:rFonts w:asciiTheme="minorHAnsi" w:hAnsiTheme="minorHAnsi" w:cstheme="minorHAnsi"/>
          <w:sz w:val="22"/>
          <w:szCs w:val="22"/>
        </w:rPr>
        <w:t xml:space="preserve">Rund 100 Objekte unterschiedlichster Art, darunter Grabsteine, Skulpturen, Schatzfunde, Handschriften, Urkunden und archäologische Objekte aus ganz Deutschland und den europäischen Nachbarländern, werden in der Ausstellung einen weitgefächerten Einblick in das mittelalterliche jüdische Leben in all seinen Facetten geben: Von religiösen Riten über Kultur- und Geistesgeschichte bis zum Alltag von Jüdinnen und Juden in Trier sowie darüber hinaus. </w:t>
      </w:r>
    </w:p>
    <w:p w14:paraId="4F31D594" w14:textId="77777777" w:rsidR="009A291A" w:rsidRDefault="009A291A" w:rsidP="009A291A">
      <w:pPr>
        <w:jc w:val="both"/>
        <w:rPr>
          <w:rFonts w:asciiTheme="minorHAnsi" w:hAnsiTheme="minorHAnsi" w:cstheme="minorHAnsi"/>
          <w:sz w:val="22"/>
          <w:szCs w:val="22"/>
        </w:rPr>
      </w:pPr>
    </w:p>
    <w:p w14:paraId="45DB806F" w14:textId="77777777" w:rsidR="009A291A" w:rsidRDefault="009A291A" w:rsidP="009A291A">
      <w:pPr>
        <w:jc w:val="both"/>
        <w:rPr>
          <w:rFonts w:asciiTheme="minorHAnsi" w:hAnsiTheme="minorHAnsi" w:cstheme="minorHAnsi"/>
          <w:sz w:val="22"/>
          <w:szCs w:val="22"/>
        </w:rPr>
      </w:pPr>
      <w:r>
        <w:rPr>
          <w:rFonts w:asciiTheme="minorHAnsi" w:hAnsiTheme="minorHAnsi" w:cstheme="minorHAnsi"/>
          <w:sz w:val="22"/>
          <w:szCs w:val="22"/>
        </w:rPr>
        <w:t>Die Ausstellung läuft vom 11. Oktober 2026 bis zum 4. April 2027. Es wird ein umfangreiches Begleitprogramm und ein Ausstellungskatalog angeboten.</w:t>
      </w:r>
    </w:p>
    <w:p w14:paraId="10DAEADC" w14:textId="77777777" w:rsidR="009A291A" w:rsidRDefault="009A291A" w:rsidP="009A291A">
      <w:pPr>
        <w:jc w:val="both"/>
        <w:rPr>
          <w:rFonts w:asciiTheme="minorHAnsi" w:hAnsiTheme="minorHAnsi" w:cstheme="minorHAnsi"/>
          <w:sz w:val="22"/>
          <w:szCs w:val="22"/>
        </w:rPr>
      </w:pPr>
    </w:p>
    <w:p w14:paraId="6D989D7B" w14:textId="77777777" w:rsidR="003935FB" w:rsidRDefault="003935FB" w:rsidP="009A291A">
      <w:pPr>
        <w:jc w:val="both"/>
        <w:rPr>
          <w:rFonts w:asciiTheme="minorHAnsi" w:hAnsiTheme="minorHAnsi" w:cstheme="minorHAnsi"/>
          <w:sz w:val="22"/>
          <w:szCs w:val="22"/>
        </w:rPr>
      </w:pPr>
    </w:p>
    <w:p w14:paraId="3970A6CE" w14:textId="01E39B85" w:rsidR="009A291A" w:rsidRPr="00C601B6" w:rsidRDefault="003935FB" w:rsidP="00C601B6">
      <w:pPr>
        <w:jc w:val="both"/>
        <w:rPr>
          <w:rFonts w:asciiTheme="minorHAnsi" w:hAnsiTheme="minorHAnsi" w:cstheme="minorHAnsi"/>
          <w:b/>
          <w:bCs/>
          <w:sz w:val="22"/>
          <w:szCs w:val="22"/>
        </w:rPr>
      </w:pPr>
      <w:r w:rsidRPr="00C601B6">
        <w:rPr>
          <w:rFonts w:asciiTheme="minorHAnsi" w:hAnsiTheme="minorHAnsi" w:cstheme="minorHAnsi"/>
          <w:b/>
          <w:bCs/>
          <w:sz w:val="22"/>
          <w:szCs w:val="22"/>
        </w:rPr>
        <w:t>Abbildung</w:t>
      </w:r>
      <w:r w:rsidR="00C601B6" w:rsidRPr="00C601B6">
        <w:rPr>
          <w:rFonts w:asciiTheme="minorHAnsi" w:hAnsiTheme="minorHAnsi" w:cstheme="minorHAnsi"/>
          <w:b/>
          <w:bCs/>
          <w:sz w:val="22"/>
          <w:szCs w:val="22"/>
        </w:rPr>
        <w:t>en</w:t>
      </w:r>
      <w:r w:rsidRPr="00C601B6">
        <w:rPr>
          <w:rFonts w:asciiTheme="minorHAnsi" w:hAnsiTheme="minorHAnsi" w:cstheme="minorHAnsi"/>
          <w:b/>
          <w:bCs/>
          <w:sz w:val="22"/>
          <w:szCs w:val="22"/>
        </w:rPr>
        <w:t xml:space="preserve">: </w:t>
      </w:r>
    </w:p>
    <w:p w14:paraId="0E3418B2" w14:textId="5CB4DB9B" w:rsidR="0011668E" w:rsidRDefault="00514D03" w:rsidP="009A291A">
      <w:pPr>
        <w:pStyle w:val="NurText"/>
      </w:pPr>
      <w:r>
        <w:rPr>
          <w:noProof/>
        </w:rPr>
        <w:drawing>
          <wp:anchor distT="0" distB="0" distL="114300" distR="114300" simplePos="0" relativeHeight="251660288" behindDoc="0" locked="0" layoutInCell="1" allowOverlap="1" wp14:anchorId="5CC0963B" wp14:editId="20427073">
            <wp:simplePos x="0" y="0"/>
            <wp:positionH relativeFrom="column">
              <wp:posOffset>3033395</wp:posOffset>
            </wp:positionH>
            <wp:positionV relativeFrom="paragraph">
              <wp:posOffset>170180</wp:posOffset>
            </wp:positionV>
            <wp:extent cx="2788285" cy="3943350"/>
            <wp:effectExtent l="0" t="0" r="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88285" cy="39433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7D9C680" w14:textId="146AB52A" w:rsidR="003935FB" w:rsidRDefault="003935FB" w:rsidP="009A291A">
      <w:pPr>
        <w:pStyle w:val="NurText"/>
      </w:pPr>
      <w:r>
        <w:rPr>
          <w:noProof/>
        </w:rPr>
        <w:drawing>
          <wp:anchor distT="0" distB="0" distL="114300" distR="114300" simplePos="0" relativeHeight="251661312" behindDoc="0" locked="0" layoutInCell="1" allowOverlap="1" wp14:anchorId="4EB8247F" wp14:editId="338CC336">
            <wp:simplePos x="0" y="0"/>
            <wp:positionH relativeFrom="column">
              <wp:posOffset>4445</wp:posOffset>
            </wp:positionH>
            <wp:positionV relativeFrom="paragraph">
              <wp:posOffset>-1270</wp:posOffset>
            </wp:positionV>
            <wp:extent cx="2947921" cy="3943350"/>
            <wp:effectExtent l="0" t="0" r="508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7250" b="3337"/>
                    <a:stretch/>
                  </pic:blipFill>
                  <pic:spPr bwMode="auto">
                    <a:xfrm>
                      <a:off x="0" y="0"/>
                      <a:ext cx="2947921" cy="3943350"/>
                    </a:xfrm>
                    <a:prstGeom prst="rect">
                      <a:avLst/>
                    </a:prstGeom>
                    <a:noFill/>
                    <a:ln>
                      <a:noFill/>
                    </a:ln>
                    <a:extLst>
                      <a:ext uri="{53640926-AAD7-44D8-BBD7-CCE9431645EC}">
                        <a14:shadowObscured xmlns:a14="http://schemas.microsoft.com/office/drawing/2010/main"/>
                      </a:ext>
                    </a:extLst>
                  </pic:spPr>
                </pic:pic>
              </a:graphicData>
            </a:graphic>
          </wp:anchor>
        </w:drawing>
      </w:r>
      <w:r w:rsidR="00514D03" w:rsidRPr="00514D03">
        <w:t xml:space="preserve"> </w:t>
      </w:r>
    </w:p>
    <w:p w14:paraId="2F829178" w14:textId="77777777" w:rsidR="00C601B6" w:rsidRDefault="00C601B6" w:rsidP="009A291A">
      <w:pPr>
        <w:pStyle w:val="NurText"/>
      </w:pPr>
    </w:p>
    <w:p w14:paraId="69112E7C" w14:textId="77777777" w:rsidR="00C601B6" w:rsidRDefault="00C601B6" w:rsidP="009A291A">
      <w:pPr>
        <w:pStyle w:val="NurText"/>
      </w:pPr>
    </w:p>
    <w:p w14:paraId="2071FDDA" w14:textId="77777777" w:rsidR="00C601B6" w:rsidRDefault="00C601B6" w:rsidP="009A291A">
      <w:pPr>
        <w:pStyle w:val="NurText"/>
      </w:pPr>
    </w:p>
    <w:p w14:paraId="1F5F0F4D" w14:textId="77777777" w:rsidR="00C601B6" w:rsidRDefault="00C601B6" w:rsidP="009A291A">
      <w:pPr>
        <w:pStyle w:val="NurText"/>
      </w:pPr>
    </w:p>
    <w:p w14:paraId="0C2EA346" w14:textId="77777777" w:rsidR="00C601B6" w:rsidRDefault="00C601B6" w:rsidP="009A291A">
      <w:pPr>
        <w:pStyle w:val="NurText"/>
      </w:pPr>
    </w:p>
    <w:p w14:paraId="7EAB6CB8" w14:textId="77777777" w:rsidR="00C601B6" w:rsidRDefault="00C601B6" w:rsidP="009A291A">
      <w:pPr>
        <w:pStyle w:val="NurText"/>
      </w:pPr>
    </w:p>
    <w:p w14:paraId="1498E0A1" w14:textId="77777777" w:rsidR="00C601B6" w:rsidRDefault="00C601B6" w:rsidP="009A291A">
      <w:pPr>
        <w:pStyle w:val="NurText"/>
      </w:pPr>
    </w:p>
    <w:p w14:paraId="18A57865" w14:textId="77777777" w:rsidR="00C601B6" w:rsidRDefault="00C601B6" w:rsidP="009A291A">
      <w:pPr>
        <w:pStyle w:val="NurText"/>
      </w:pPr>
    </w:p>
    <w:p w14:paraId="253FEDB6" w14:textId="77777777" w:rsidR="00C601B6" w:rsidRDefault="00C601B6" w:rsidP="009A291A">
      <w:pPr>
        <w:pStyle w:val="NurText"/>
      </w:pPr>
    </w:p>
    <w:p w14:paraId="304F8EC6" w14:textId="77777777" w:rsidR="00C601B6" w:rsidRDefault="00C601B6" w:rsidP="009A291A">
      <w:pPr>
        <w:pStyle w:val="NurText"/>
      </w:pPr>
    </w:p>
    <w:p w14:paraId="63E99A48" w14:textId="77777777" w:rsidR="00C601B6" w:rsidRDefault="00C601B6" w:rsidP="009A291A">
      <w:pPr>
        <w:pStyle w:val="NurText"/>
      </w:pPr>
    </w:p>
    <w:p w14:paraId="47C5FEE4" w14:textId="77777777" w:rsidR="00C601B6" w:rsidRDefault="00C601B6" w:rsidP="009A291A">
      <w:pPr>
        <w:pStyle w:val="NurText"/>
      </w:pPr>
    </w:p>
    <w:p w14:paraId="7D632416" w14:textId="77777777" w:rsidR="00C601B6" w:rsidRDefault="00C601B6" w:rsidP="009A291A">
      <w:pPr>
        <w:pStyle w:val="NurText"/>
      </w:pPr>
    </w:p>
    <w:p w14:paraId="58F5CF77" w14:textId="77777777" w:rsidR="00C601B6" w:rsidRDefault="00C601B6" w:rsidP="009A291A">
      <w:pPr>
        <w:pStyle w:val="NurText"/>
      </w:pPr>
    </w:p>
    <w:p w14:paraId="493224FE" w14:textId="77777777" w:rsidR="00C601B6" w:rsidRDefault="00C601B6" w:rsidP="009A291A">
      <w:pPr>
        <w:pStyle w:val="NurText"/>
      </w:pPr>
    </w:p>
    <w:p w14:paraId="647ACD7D" w14:textId="77777777" w:rsidR="00C601B6" w:rsidRDefault="00C601B6" w:rsidP="009A291A">
      <w:pPr>
        <w:pStyle w:val="NurText"/>
      </w:pPr>
    </w:p>
    <w:p w14:paraId="2AA76E6D" w14:textId="77777777" w:rsidR="00C601B6" w:rsidRDefault="00C601B6" w:rsidP="009A291A">
      <w:pPr>
        <w:pStyle w:val="NurText"/>
      </w:pPr>
    </w:p>
    <w:p w14:paraId="73AAFEE2" w14:textId="77777777" w:rsidR="00C601B6" w:rsidRDefault="00C601B6" w:rsidP="009A291A">
      <w:pPr>
        <w:pStyle w:val="NurText"/>
      </w:pPr>
    </w:p>
    <w:p w14:paraId="0211081F" w14:textId="77777777" w:rsidR="00C601B6" w:rsidRDefault="00C601B6" w:rsidP="009A291A">
      <w:pPr>
        <w:pStyle w:val="NurText"/>
      </w:pPr>
    </w:p>
    <w:p w14:paraId="2B5237EA" w14:textId="77777777" w:rsidR="00C601B6" w:rsidRDefault="00C601B6" w:rsidP="009A291A">
      <w:pPr>
        <w:pStyle w:val="NurText"/>
      </w:pPr>
    </w:p>
    <w:p w14:paraId="5368F652" w14:textId="77777777" w:rsidR="00C601B6" w:rsidRDefault="00C601B6" w:rsidP="009A291A">
      <w:pPr>
        <w:pStyle w:val="NurText"/>
      </w:pPr>
    </w:p>
    <w:p w14:paraId="32C7D770" w14:textId="77777777" w:rsidR="00C601B6" w:rsidRDefault="00C601B6" w:rsidP="009A291A">
      <w:pPr>
        <w:pStyle w:val="NurText"/>
      </w:pPr>
    </w:p>
    <w:p w14:paraId="2BD03E83" w14:textId="77777777" w:rsidR="00C601B6" w:rsidRDefault="00C601B6" w:rsidP="009A291A">
      <w:pPr>
        <w:pStyle w:val="NurText"/>
      </w:pPr>
    </w:p>
    <w:p w14:paraId="0E232FEE" w14:textId="78019FF0" w:rsidR="00C601B6" w:rsidRPr="00C601B6" w:rsidRDefault="00C601B6" w:rsidP="00C601B6">
      <w:pPr>
        <w:jc w:val="both"/>
        <w:rPr>
          <w:rFonts w:asciiTheme="minorHAnsi" w:hAnsiTheme="minorHAnsi" w:cstheme="minorHAnsi"/>
          <w:b/>
          <w:bCs/>
        </w:rPr>
      </w:pPr>
      <w:r w:rsidRPr="00C601B6">
        <w:rPr>
          <w:rFonts w:asciiTheme="minorHAnsi" w:hAnsiTheme="minorHAnsi" w:cstheme="minorHAnsi"/>
          <w:b/>
          <w:bCs/>
        </w:rPr>
        <w:t>Erfurter Hochzeitsring</w:t>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t xml:space="preserve">           Ausstellungsplakat</w:t>
      </w:r>
    </w:p>
    <w:p w14:paraId="1ACDB758" w14:textId="5556460E" w:rsidR="00C601B6" w:rsidRPr="00C601B6" w:rsidRDefault="00C601B6" w:rsidP="00C601B6">
      <w:pPr>
        <w:jc w:val="both"/>
        <w:rPr>
          <w:rFonts w:asciiTheme="minorHAnsi" w:hAnsiTheme="minorHAnsi" w:cstheme="minorHAnsi"/>
        </w:rPr>
      </w:pPr>
      <w:r w:rsidRPr="00C601B6">
        <w:rPr>
          <w:rFonts w:asciiTheme="minorHAnsi" w:hAnsiTheme="minorHAnsi" w:cstheme="minorHAnsi"/>
        </w:rPr>
        <w:t>© B. Stefan, Thüringer Landesamt für Denkmalpflege</w:t>
      </w:r>
      <w:r>
        <w:rPr>
          <w:rFonts w:asciiTheme="minorHAnsi" w:hAnsiTheme="minorHAnsi" w:cstheme="minorHAnsi"/>
        </w:rPr>
        <w:t xml:space="preserve">           © Stadtmuseum Simeonstift / Agentur Segno</w:t>
      </w:r>
    </w:p>
    <w:p w14:paraId="76F273B5" w14:textId="60FF67A9" w:rsidR="00C601B6" w:rsidRPr="00C601B6" w:rsidRDefault="00C601B6" w:rsidP="00C601B6">
      <w:pPr>
        <w:jc w:val="both"/>
        <w:rPr>
          <w:rFonts w:asciiTheme="minorHAnsi" w:hAnsiTheme="minorHAnsi" w:cstheme="minorHAnsi"/>
        </w:rPr>
      </w:pPr>
      <w:r w:rsidRPr="00C601B6">
        <w:rPr>
          <w:rFonts w:asciiTheme="minorHAnsi" w:hAnsiTheme="minorHAnsi" w:cstheme="minorHAnsi"/>
        </w:rPr>
        <w:t>und Archäologie, Weimar</w:t>
      </w:r>
    </w:p>
    <w:p w14:paraId="45F2C959" w14:textId="77777777" w:rsidR="00C601B6" w:rsidRDefault="00C601B6" w:rsidP="009A291A">
      <w:pPr>
        <w:pStyle w:val="NurText"/>
      </w:pPr>
    </w:p>
    <w:sectPr w:rsidR="00C601B6">
      <w:headerReference w:type="even" r:id="rId9"/>
      <w:headerReference w:type="first" r:id="rId10"/>
      <w:footerReference w:type="first" r:id="rId11"/>
      <w:pgSz w:w="11907" w:h="16840" w:code="9"/>
      <w:pgMar w:top="709" w:right="2126" w:bottom="993" w:left="1418" w:header="567" w:footer="12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0B81CF" w14:textId="77777777" w:rsidR="0011668E" w:rsidRDefault="00C601B6">
      <w:r>
        <w:separator/>
      </w:r>
    </w:p>
  </w:endnote>
  <w:endnote w:type="continuationSeparator" w:id="0">
    <w:p w14:paraId="5DC33DD6" w14:textId="77777777" w:rsidR="0011668E" w:rsidRDefault="00C6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topFromText="68" w:vertAnchor="page" w:horzAnchor="margin" w:tblpXSpec="center" w:tblpY="15650"/>
      <w:tblOverlap w:val="never"/>
      <w:tblW w:w="9286" w:type="dxa"/>
      <w:tblLayout w:type="fixed"/>
      <w:tblCellMar>
        <w:left w:w="70" w:type="dxa"/>
        <w:right w:w="70" w:type="dxa"/>
      </w:tblCellMar>
      <w:tblLook w:val="0000" w:firstRow="0" w:lastRow="0" w:firstColumn="0" w:lastColumn="0" w:noHBand="0" w:noVBand="0"/>
    </w:tblPr>
    <w:tblGrid>
      <w:gridCol w:w="3898"/>
      <w:gridCol w:w="2551"/>
      <w:gridCol w:w="2837"/>
    </w:tblGrid>
    <w:tr w:rsidR="0011668E" w14:paraId="08970223" w14:textId="77777777">
      <w:trPr>
        <w:cantSplit/>
        <w:trHeight w:val="659"/>
      </w:trPr>
      <w:tc>
        <w:tcPr>
          <w:tcW w:w="3898" w:type="dxa"/>
        </w:tcPr>
        <w:p w14:paraId="59904C65" w14:textId="77777777" w:rsidR="0011668E" w:rsidRDefault="00C601B6">
          <w:pPr>
            <w:rPr>
              <w:rFonts w:asciiTheme="minorHAnsi" w:hAnsiTheme="minorHAnsi" w:cstheme="minorHAnsi"/>
              <w:b/>
              <w:sz w:val="18"/>
              <w:szCs w:val="18"/>
            </w:rPr>
          </w:pPr>
          <w:r>
            <w:rPr>
              <w:rFonts w:asciiTheme="minorHAnsi" w:hAnsiTheme="minorHAnsi" w:cstheme="minorHAnsi"/>
              <w:b/>
              <w:sz w:val="18"/>
              <w:szCs w:val="18"/>
            </w:rPr>
            <w:t>Stadtmuseum Simeonstift Trier</w:t>
          </w:r>
        </w:p>
        <w:p w14:paraId="0FCF99F5" w14:textId="77777777" w:rsidR="0011668E" w:rsidRDefault="00C601B6">
          <w:pPr>
            <w:rPr>
              <w:rFonts w:asciiTheme="minorHAnsi" w:hAnsiTheme="minorHAnsi" w:cstheme="minorHAnsi"/>
              <w:sz w:val="16"/>
              <w:szCs w:val="18"/>
            </w:rPr>
          </w:pPr>
          <w:r>
            <w:rPr>
              <w:rFonts w:asciiTheme="minorHAnsi" w:hAnsiTheme="minorHAnsi" w:cstheme="minorHAnsi"/>
              <w:sz w:val="18"/>
              <w:szCs w:val="18"/>
            </w:rPr>
            <w:t>Presse- und Öffentlichkeitsarbeit</w:t>
          </w:r>
        </w:p>
      </w:tc>
      <w:tc>
        <w:tcPr>
          <w:tcW w:w="2551" w:type="dxa"/>
        </w:tcPr>
        <w:p w14:paraId="2A52089F" w14:textId="7DC6D6AA" w:rsidR="0011668E" w:rsidRDefault="009A291A">
          <w:pPr>
            <w:pStyle w:val="Fuzeile"/>
            <w:tabs>
              <w:tab w:val="center" w:pos="4253"/>
              <w:tab w:val="left" w:pos="6521"/>
            </w:tabs>
            <w:ind w:right="-211"/>
            <w:jc w:val="both"/>
            <w:rPr>
              <w:rFonts w:asciiTheme="minorHAnsi" w:hAnsiTheme="minorHAnsi" w:cstheme="minorHAnsi"/>
              <w:sz w:val="18"/>
              <w:szCs w:val="18"/>
            </w:rPr>
          </w:pPr>
          <w:r>
            <w:rPr>
              <w:rFonts w:asciiTheme="minorHAnsi" w:hAnsiTheme="minorHAnsi" w:cstheme="minorHAnsi"/>
              <w:sz w:val="18"/>
              <w:szCs w:val="18"/>
            </w:rPr>
            <w:t>Kathrin Koutrakos</w:t>
          </w:r>
        </w:p>
        <w:p w14:paraId="28219394" w14:textId="6204B856" w:rsidR="0011668E" w:rsidRDefault="009A291A">
          <w:pPr>
            <w:pStyle w:val="Fuzeile"/>
            <w:tabs>
              <w:tab w:val="center" w:pos="4253"/>
              <w:tab w:val="left" w:pos="6521"/>
            </w:tabs>
            <w:ind w:right="-211"/>
            <w:jc w:val="both"/>
            <w:rPr>
              <w:rFonts w:asciiTheme="minorHAnsi" w:hAnsiTheme="minorHAnsi" w:cstheme="minorHAnsi"/>
              <w:sz w:val="18"/>
              <w:szCs w:val="18"/>
            </w:rPr>
          </w:pPr>
          <w:r>
            <w:rPr>
              <w:rFonts w:asciiTheme="minorHAnsi" w:hAnsiTheme="minorHAnsi" w:cstheme="minorHAnsi"/>
              <w:sz w:val="18"/>
              <w:szCs w:val="18"/>
            </w:rPr>
            <w:t>kathrin.koutrakkos</w:t>
          </w:r>
          <w:r w:rsidR="00C601B6">
            <w:rPr>
              <w:rFonts w:asciiTheme="minorHAnsi" w:hAnsiTheme="minorHAnsi" w:cstheme="minorHAnsi"/>
              <w:sz w:val="18"/>
              <w:szCs w:val="18"/>
            </w:rPr>
            <w:t>@trier.de</w:t>
          </w:r>
        </w:p>
      </w:tc>
      <w:tc>
        <w:tcPr>
          <w:tcW w:w="2837" w:type="dxa"/>
        </w:tcPr>
        <w:p w14:paraId="2B276A1C" w14:textId="77777777" w:rsidR="0011668E" w:rsidRDefault="00C601B6">
          <w:pPr>
            <w:pStyle w:val="Fuzeile"/>
            <w:tabs>
              <w:tab w:val="center" w:pos="4253"/>
              <w:tab w:val="left" w:pos="6521"/>
            </w:tabs>
            <w:ind w:right="-211"/>
            <w:jc w:val="both"/>
            <w:rPr>
              <w:rFonts w:asciiTheme="minorHAnsi" w:hAnsiTheme="minorHAnsi" w:cstheme="minorHAnsi"/>
              <w:sz w:val="18"/>
              <w:szCs w:val="18"/>
            </w:rPr>
          </w:pPr>
          <w:proofErr w:type="gramStart"/>
          <w:r>
            <w:rPr>
              <w:rFonts w:asciiTheme="minorHAnsi" w:hAnsiTheme="minorHAnsi" w:cstheme="minorHAnsi"/>
              <w:sz w:val="18"/>
              <w:szCs w:val="18"/>
            </w:rPr>
            <w:t>Tel  0651</w:t>
          </w:r>
          <w:proofErr w:type="gramEnd"/>
          <w:r>
            <w:rPr>
              <w:rFonts w:asciiTheme="minorHAnsi" w:hAnsiTheme="minorHAnsi" w:cstheme="minorHAnsi"/>
              <w:sz w:val="18"/>
              <w:szCs w:val="18"/>
            </w:rPr>
            <w:t xml:space="preserve"> 718-1454</w:t>
          </w:r>
        </w:p>
        <w:p w14:paraId="73AB28E6" w14:textId="3E99C13B" w:rsidR="0011668E" w:rsidRDefault="009A291A">
          <w:pPr>
            <w:pStyle w:val="Fuzeile"/>
            <w:tabs>
              <w:tab w:val="center" w:pos="4253"/>
              <w:tab w:val="left" w:pos="6521"/>
            </w:tabs>
            <w:ind w:right="-211"/>
            <w:jc w:val="both"/>
            <w:rPr>
              <w:rFonts w:asciiTheme="minorHAnsi" w:hAnsiTheme="minorHAnsi" w:cstheme="minorHAnsi"/>
              <w:sz w:val="18"/>
              <w:szCs w:val="18"/>
            </w:rPr>
          </w:pPr>
          <w:hyperlink r:id="rId1" w:history="1">
            <w:r w:rsidRPr="004C0CCB">
              <w:rPr>
                <w:rStyle w:val="Hyperlink"/>
                <w:rFonts w:asciiTheme="minorHAnsi" w:hAnsiTheme="minorHAnsi" w:cstheme="minorHAnsi"/>
                <w:sz w:val="18"/>
                <w:szCs w:val="18"/>
              </w:rPr>
              <w:t>www.museum-trier.de</w:t>
            </w:r>
          </w:hyperlink>
        </w:p>
        <w:p w14:paraId="221E89BE" w14:textId="61A6750B" w:rsidR="009A291A" w:rsidRDefault="009A291A">
          <w:pPr>
            <w:pStyle w:val="Fuzeile"/>
            <w:tabs>
              <w:tab w:val="center" w:pos="4253"/>
              <w:tab w:val="left" w:pos="6521"/>
            </w:tabs>
            <w:ind w:right="-211"/>
            <w:jc w:val="both"/>
            <w:rPr>
              <w:rFonts w:asciiTheme="minorHAnsi" w:hAnsiTheme="minorHAnsi" w:cstheme="minorHAnsi"/>
              <w:szCs w:val="18"/>
            </w:rPr>
          </w:pPr>
        </w:p>
      </w:tc>
    </w:tr>
  </w:tbl>
  <w:p w14:paraId="2439B077" w14:textId="77777777" w:rsidR="0011668E" w:rsidRDefault="0011668E">
    <w:pPr>
      <w:pStyle w:val="Fuzeile"/>
      <w:tabs>
        <w:tab w:val="center" w:pos="4253"/>
        <w:tab w:val="left" w:pos="6521"/>
      </w:tabs>
      <w:rPr>
        <w:rFonts w:asciiTheme="minorHAnsi" w:hAnsiTheme="minorHAnsi" w:cstheme="minorHAns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037AAF" w14:textId="77777777" w:rsidR="0011668E" w:rsidRDefault="00C601B6">
      <w:r>
        <w:separator/>
      </w:r>
    </w:p>
  </w:footnote>
  <w:footnote w:type="continuationSeparator" w:id="0">
    <w:p w14:paraId="7E1C1126" w14:textId="77777777" w:rsidR="0011668E" w:rsidRDefault="00C6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4427C" w14:textId="77777777" w:rsidR="0011668E" w:rsidRDefault="00C601B6">
    <w:pPr>
      <w:pStyle w:val="Kopfzeile"/>
    </w:pPr>
    <w:r>
      <w:rPr>
        <w:noProof/>
      </w:rPr>
      <w:pict w14:anchorId="0E34BC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4641063" o:spid="_x0000_s1026" type="#_x0000_t75" style="position:absolute;margin-left:0;margin-top:0;width:595.45pt;height:841.9pt;z-index:-251656192;mso-position-horizontal:center;mso-position-horizontal-relative:margin;mso-position-vertical:center;mso-position-vertical-relative:margin" o:allowincell="f">
          <v:imagedata r:id="rId1" o:title="Testbogen_emfLog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8483A" w14:textId="77777777" w:rsidR="0011668E" w:rsidRDefault="00C601B6">
    <w:pPr>
      <w:pStyle w:val="Kopfzeile"/>
    </w:pPr>
    <w:r>
      <w:rPr>
        <w:noProof/>
      </w:rPr>
      <w:pict w14:anchorId="18218D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4641062" o:spid="_x0000_s1025" type="#_x0000_t75" style="position:absolute;margin-left:-63.4pt;margin-top:-27.85pt;width:569.45pt;height:770.4pt;z-index:-251657216;mso-position-horizontal-relative:margin;mso-position-vertical-relative:margin" o:allowincell="f">
          <v:imagedata r:id="rId1" o:title="Testbogen_emfLogo" cropbottom="5566f" cropleft="2862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668E"/>
    <w:rsid w:val="0011668E"/>
    <w:rsid w:val="00391A6C"/>
    <w:rsid w:val="003935FB"/>
    <w:rsid w:val="00514D03"/>
    <w:rsid w:val="009A291A"/>
    <w:rsid w:val="00C601B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7071D5"/>
  <w15:chartTrackingRefBased/>
  <w15:docId w15:val="{EE71DE98-14E5-43CC-841E-BAF0BAD88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overflowPunct w:val="0"/>
      <w:autoSpaceDE w:val="0"/>
      <w:autoSpaceDN w:val="0"/>
      <w:adjustRightInd w:val="0"/>
      <w:spacing w:after="0" w:line="240" w:lineRule="auto"/>
      <w:textAlignment w:val="baseline"/>
    </w:pPr>
    <w:rPr>
      <w:rFonts w:ascii="Arial" w:eastAsia="Times New Roman" w:hAnsi="Arial" w:cs="Times New Roman"/>
      <w:sz w:val="20"/>
      <w:szCs w:val="20"/>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pPr>
      <w:tabs>
        <w:tab w:val="center" w:pos="4819"/>
        <w:tab w:val="right" w:pos="9071"/>
      </w:tabs>
    </w:pPr>
  </w:style>
  <w:style w:type="character" w:customStyle="1" w:styleId="FuzeileZchn">
    <w:name w:val="Fußzeile Zchn"/>
    <w:basedOn w:val="Absatz-Standardschriftart"/>
    <w:link w:val="Fuzeile"/>
    <w:uiPriority w:val="99"/>
    <w:rPr>
      <w:rFonts w:ascii="Arial" w:eastAsia="Times New Roman" w:hAnsi="Arial" w:cs="Times New Roman"/>
      <w:sz w:val="20"/>
      <w:szCs w:val="20"/>
      <w:lang w:eastAsia="de-DE"/>
    </w:rPr>
  </w:style>
  <w:style w:type="paragraph" w:styleId="Kopfzeile">
    <w:name w:val="header"/>
    <w:basedOn w:val="Standard"/>
    <w:link w:val="KopfzeileZchn"/>
    <w:pPr>
      <w:tabs>
        <w:tab w:val="center" w:pos="4536"/>
        <w:tab w:val="right" w:pos="9072"/>
      </w:tabs>
    </w:pPr>
  </w:style>
  <w:style w:type="character" w:customStyle="1" w:styleId="KopfzeileZchn">
    <w:name w:val="Kopfzeile Zchn"/>
    <w:basedOn w:val="Absatz-Standardschriftart"/>
    <w:link w:val="Kopfzeile"/>
    <w:rPr>
      <w:rFonts w:ascii="Arial" w:eastAsia="Times New Roman" w:hAnsi="Arial" w:cs="Times New Roman"/>
      <w:sz w:val="20"/>
      <w:szCs w:val="20"/>
      <w:lang w:eastAsia="de-DE"/>
    </w:rPr>
  </w:style>
  <w:style w:type="character" w:styleId="Hyperlink">
    <w:name w:val="Hyperlink"/>
    <w:basedOn w:val="Absatz-Standardschriftart"/>
    <w:unhideWhenUsed/>
    <w:rPr>
      <w:color w:val="0563C1" w:themeColor="hyperlink"/>
      <w:u w:val="single"/>
    </w:rPr>
  </w:style>
  <w:style w:type="character" w:styleId="BesuchterLink">
    <w:name w:val="FollowedHyperlink"/>
    <w:basedOn w:val="Absatz-Standardschriftart"/>
    <w:uiPriority w:val="99"/>
    <w:semiHidden/>
    <w:unhideWhenUsed/>
    <w:rPr>
      <w:color w:val="954F72" w:themeColor="followedHyperlink"/>
      <w:u w:val="single"/>
    </w:rPr>
  </w:style>
  <w:style w:type="paragraph" w:styleId="StandardWeb">
    <w:name w:val="Normal (Web)"/>
    <w:basedOn w:val="Standard"/>
    <w:uiPriority w:val="99"/>
    <w:semiHidden/>
    <w:unhideWhenUsed/>
    <w:pPr>
      <w:overflowPunct/>
      <w:autoSpaceDE/>
      <w:autoSpaceDN/>
      <w:adjustRightInd/>
      <w:spacing w:before="100" w:beforeAutospacing="1" w:after="100" w:afterAutospacing="1"/>
      <w:textAlignment w:val="auto"/>
    </w:pPr>
    <w:rPr>
      <w:rFonts w:ascii="Times New Roman" w:hAnsi="Times New Roman"/>
      <w:sz w:val="24"/>
      <w:szCs w:val="24"/>
    </w:rPr>
  </w:style>
  <w:style w:type="character" w:styleId="Fett">
    <w:name w:val="Strong"/>
    <w:basedOn w:val="Absatz-Standardschriftart"/>
    <w:uiPriority w:val="22"/>
    <w:qFormat/>
    <w:rPr>
      <w:b/>
      <w:bCs/>
    </w:rPr>
  </w:style>
  <w:style w:type="character" w:styleId="Hervorhebung">
    <w:name w:val="Emphasis"/>
    <w:basedOn w:val="Absatz-Standardschriftart"/>
    <w:uiPriority w:val="20"/>
    <w:qFormat/>
    <w:rPr>
      <w:i/>
      <w:iCs/>
    </w:rPr>
  </w:style>
  <w:style w:type="paragraph" w:styleId="NurText">
    <w:name w:val="Plain Text"/>
    <w:basedOn w:val="Standard"/>
    <w:link w:val="NurTextZchn"/>
    <w:uiPriority w:val="99"/>
    <w:unhideWhenUsed/>
    <w:pPr>
      <w:overflowPunct/>
      <w:autoSpaceDE/>
      <w:autoSpaceDN/>
      <w:adjustRightInd/>
      <w:textAlignment w:val="auto"/>
    </w:pPr>
    <w:rPr>
      <w:rFonts w:ascii="Calibri" w:eastAsiaTheme="minorHAnsi" w:hAnsi="Calibri" w:cstheme="minorBidi"/>
      <w:sz w:val="22"/>
      <w:szCs w:val="21"/>
      <w:lang w:eastAsia="en-US"/>
    </w:rPr>
  </w:style>
  <w:style w:type="character" w:customStyle="1" w:styleId="NurTextZchn">
    <w:name w:val="Nur Text Zchn"/>
    <w:basedOn w:val="Absatz-Standardschriftart"/>
    <w:link w:val="NurText"/>
    <w:uiPriority w:val="99"/>
    <w:rPr>
      <w:rFonts w:ascii="Calibri" w:hAnsi="Calibri"/>
      <w:szCs w:val="21"/>
    </w:rPr>
  </w:style>
  <w:style w:type="character" w:styleId="NichtaufgelsteErwhnung">
    <w:name w:val="Unresolved Mention"/>
    <w:basedOn w:val="Absatz-Standardschriftart"/>
    <w:uiPriority w:val="99"/>
    <w:semiHidden/>
    <w:unhideWhenUsed/>
    <w:rsid w:val="009A29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museum-trier.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540</Words>
  <Characters>3402</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Stadtverwaltung Trier</Company>
  <LinksUpToDate>false</LinksUpToDate>
  <CharactersWithSpaces>3935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Golub, Annette</dc:creator>
  <cp:keywords/>
  <dc:description/>
  <cp:lastModifiedBy>Koutrakos, Kathrin</cp:lastModifiedBy>
  <cp:revision>2</cp:revision>
  <cp:lastPrinted>2025-07-29T13:54:00Z</cp:lastPrinted>
  <dcterms:created xsi:type="dcterms:W3CDTF">2026-08-13T12:00:00Z</dcterms:created>
  <dcterms:modified xsi:type="dcterms:W3CDTF">2026-08-13T12:00:00Z</dcterms:modified>
</cp:coreProperties>
</file>